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92FF8" w14:textId="77777777" w:rsidR="00EF6FBA" w:rsidRPr="00EF6FBA" w:rsidRDefault="00EF6FBA" w:rsidP="00EF6FB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F6F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br/>
        <w:t> </w:t>
      </w:r>
    </w:p>
    <w:p w14:paraId="585216B5" w14:textId="2FEFD6CE" w:rsidR="00EF6FBA" w:rsidRPr="008175C4" w:rsidRDefault="00EF6FBA" w:rsidP="00EF6FBA">
      <w:pPr>
        <w:shd w:val="clear" w:color="auto" w:fill="FFFFFF"/>
        <w:spacing w:after="135" w:line="270" w:lineRule="atLeast"/>
        <w:rPr>
          <w:rFonts w:eastAsia="Times New Roman" w:cstheme="minorHAnsi"/>
          <w:color w:val="333333"/>
          <w:sz w:val="20"/>
          <w:szCs w:val="20"/>
          <w:lang w:eastAsia="en-GB"/>
        </w:rPr>
      </w:pPr>
      <w:r w:rsidRPr="008175C4">
        <w:rPr>
          <w:rFonts w:eastAsia="Times New Roman" w:cstheme="minorHAnsi"/>
          <w:b/>
          <w:bCs/>
          <w:color w:val="333333"/>
          <w:sz w:val="20"/>
          <w:szCs w:val="20"/>
          <w:lang w:eastAsia="en-GB"/>
        </w:rPr>
        <w:t xml:space="preserve">WFNR SPECIAL INTEREST GROUP ANNUAL REPORT </w:t>
      </w:r>
    </w:p>
    <w:p w14:paraId="603E00E2" w14:textId="77777777" w:rsidR="00EF6FBA" w:rsidRPr="008175C4" w:rsidRDefault="00EF6FBA" w:rsidP="00EF6FBA">
      <w:pPr>
        <w:shd w:val="clear" w:color="auto" w:fill="FFFFFF"/>
        <w:spacing w:after="135" w:line="270" w:lineRule="atLeast"/>
        <w:rPr>
          <w:rFonts w:eastAsia="Times New Roman" w:cstheme="minorHAnsi"/>
          <w:color w:val="333333"/>
          <w:sz w:val="20"/>
          <w:szCs w:val="20"/>
          <w:lang w:eastAsia="en-GB"/>
        </w:rPr>
      </w:pPr>
      <w:r w:rsidRPr="008175C4">
        <w:rPr>
          <w:rFonts w:eastAsia="Times New Roman" w:cstheme="minorHAnsi"/>
          <w:color w:val="333333"/>
          <w:sz w:val="20"/>
          <w:szCs w:val="20"/>
          <w:lang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6324"/>
      </w:tblGrid>
      <w:tr w:rsidR="00EF6FBA" w:rsidRPr="008175C4" w14:paraId="5671EB8C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B4C3DB" w14:textId="22084927" w:rsidR="00EF6FBA" w:rsidRPr="008175C4" w:rsidRDefault="00EF6FBA" w:rsidP="00EF6FBA">
            <w:pPr>
              <w:spacing w:after="135" w:line="270" w:lineRule="atLeast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8175C4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Name of Special Interest Group</w:t>
            </w:r>
          </w:p>
          <w:p w14:paraId="42CA75A9" w14:textId="77777777" w:rsidR="00EF6FBA" w:rsidRPr="008175C4" w:rsidRDefault="00EF6FBA" w:rsidP="00EF6FBA">
            <w:pPr>
              <w:spacing w:after="135" w:line="270" w:lineRule="atLeast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8175C4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10AAB6" w14:textId="373FC069" w:rsidR="00EF6FBA" w:rsidRPr="008175C4" w:rsidRDefault="00EF6FBA" w:rsidP="00EF6FBA">
            <w:pPr>
              <w:spacing w:after="135" w:line="270" w:lineRule="atLeast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8175C4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 </w:t>
            </w:r>
            <w:r w:rsidR="008175C4" w:rsidRPr="008175C4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Spasticity</w:t>
            </w:r>
          </w:p>
        </w:tc>
      </w:tr>
      <w:tr w:rsidR="00EF6FBA" w:rsidRPr="008175C4" w14:paraId="0A1519E6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A5A163" w14:textId="0E6298CC" w:rsidR="00EF6FBA" w:rsidRPr="008175C4" w:rsidRDefault="00EF6FBA" w:rsidP="00EF6FBA">
            <w:pPr>
              <w:spacing w:after="135" w:line="270" w:lineRule="atLeast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8175C4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Chair</w:t>
            </w:r>
          </w:p>
          <w:p w14:paraId="4B13A91D" w14:textId="503484D6" w:rsidR="00EF6FBA" w:rsidRPr="008175C4" w:rsidRDefault="00EF6FBA" w:rsidP="00EF6FBA">
            <w:pPr>
              <w:spacing w:after="135" w:line="270" w:lineRule="atLeast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8175C4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096C24" w14:textId="71AEE439" w:rsidR="00EF6FBA" w:rsidRPr="008175C4" w:rsidRDefault="00EF6FBA" w:rsidP="00EF6FBA">
            <w:pPr>
              <w:spacing w:after="135" w:line="270" w:lineRule="atLeast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8175C4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 </w:t>
            </w:r>
            <w:r w:rsidR="001F0A36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Prof. </w:t>
            </w:r>
            <w:r w:rsidR="008175C4" w:rsidRPr="008175C4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Gerard E. Francisco, MD</w:t>
            </w:r>
          </w:p>
          <w:p w14:paraId="4C4B9161" w14:textId="5676D6F2" w:rsidR="008175C4" w:rsidRPr="008175C4" w:rsidRDefault="008175C4" w:rsidP="00EF6FBA">
            <w:pPr>
              <w:spacing w:after="135" w:line="270" w:lineRule="atLeast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8175C4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Gerard.E.Francisco@uth.tmc.edu</w:t>
            </w:r>
          </w:p>
        </w:tc>
      </w:tr>
      <w:tr w:rsidR="00EF6FBA" w:rsidRPr="008175C4" w14:paraId="25CCB05E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8F2FFE" w14:textId="7C5DC8BE" w:rsidR="00EF6FBA" w:rsidRPr="008175C4" w:rsidRDefault="00EF6FBA" w:rsidP="00EF6FBA">
            <w:pPr>
              <w:spacing w:after="135" w:line="270" w:lineRule="atLeast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8175C4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Co-Chair(s) where applicable</w:t>
            </w:r>
          </w:p>
          <w:p w14:paraId="1E312042" w14:textId="77777777" w:rsidR="00EF6FBA" w:rsidRPr="008175C4" w:rsidRDefault="00EF6FBA" w:rsidP="00EF6FBA">
            <w:pPr>
              <w:spacing w:after="135" w:line="270" w:lineRule="atLeast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8175C4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AF368D" w14:textId="77777777" w:rsidR="00EF6FBA" w:rsidRPr="008175C4" w:rsidRDefault="00EF6FBA" w:rsidP="00EF6FBA">
            <w:pPr>
              <w:spacing w:after="135" w:line="270" w:lineRule="atLeast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8175C4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 </w:t>
            </w:r>
          </w:p>
        </w:tc>
      </w:tr>
      <w:tr w:rsidR="00EF6FBA" w:rsidRPr="008175C4" w14:paraId="45972287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9BF958" w14:textId="69D25FF0" w:rsidR="00EF6FBA" w:rsidRPr="008175C4" w:rsidRDefault="00EF6FBA" w:rsidP="00EF6FBA">
            <w:pPr>
              <w:spacing w:after="135" w:line="270" w:lineRule="atLeast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8175C4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Number of Members </w:t>
            </w:r>
          </w:p>
          <w:p w14:paraId="03B96350" w14:textId="77777777" w:rsidR="00EF6FBA" w:rsidRPr="008175C4" w:rsidRDefault="00EF6FBA" w:rsidP="00EF6FBA">
            <w:pPr>
              <w:spacing w:after="135" w:line="270" w:lineRule="atLeast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8175C4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23AC55" w14:textId="1281F052" w:rsidR="00EF6FBA" w:rsidRPr="008175C4" w:rsidRDefault="00EF6FBA" w:rsidP="00EF6FBA">
            <w:pPr>
              <w:spacing w:after="135" w:line="270" w:lineRule="atLeast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8175C4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 </w:t>
            </w:r>
            <w:r w:rsidR="00C8753A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Five</w:t>
            </w:r>
          </w:p>
        </w:tc>
      </w:tr>
      <w:tr w:rsidR="00EF6FBA" w:rsidRPr="008175C4" w14:paraId="33A31E19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951D37" w14:textId="30EC61F4" w:rsidR="00EF6FBA" w:rsidRPr="008175C4" w:rsidRDefault="00EF6FBA" w:rsidP="00EF6FBA">
            <w:pPr>
              <w:spacing w:after="135" w:line="270" w:lineRule="atLeast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8175C4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Key objectives and action plan</w:t>
            </w:r>
          </w:p>
          <w:p w14:paraId="018EAC83" w14:textId="77777777" w:rsidR="00EF6FBA" w:rsidRPr="008175C4" w:rsidRDefault="00EF6FBA" w:rsidP="00EF6FBA">
            <w:pPr>
              <w:spacing w:after="135" w:line="270" w:lineRule="atLeast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8175C4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 </w:t>
            </w:r>
          </w:p>
          <w:p w14:paraId="33315ACC" w14:textId="77B66B44" w:rsidR="00EF6FBA" w:rsidRPr="008175C4" w:rsidRDefault="00EF6FBA" w:rsidP="00EF6FBA">
            <w:pPr>
              <w:spacing w:after="135" w:line="270" w:lineRule="atLeast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8175C4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7521EC" w14:textId="2F7343E3" w:rsidR="00EF6FBA" w:rsidRPr="008175C4" w:rsidRDefault="00EF6FBA" w:rsidP="00EF6FBA">
            <w:pPr>
              <w:spacing w:after="135" w:line="270" w:lineRule="atLeast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8175C4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 </w:t>
            </w:r>
            <w:r w:rsidR="001F0A36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The Spasticity SIG will address clinical, training, and research issues revolving around comprehensive spasticity management.</w:t>
            </w:r>
          </w:p>
        </w:tc>
      </w:tr>
      <w:tr w:rsidR="00EF6FBA" w:rsidRPr="008175C4" w14:paraId="3203A9D5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1CFD03" w14:textId="442B9FB4" w:rsidR="00EF6FBA" w:rsidRPr="008175C4" w:rsidRDefault="00EF6FBA" w:rsidP="00EF6FBA">
            <w:pPr>
              <w:spacing w:after="135" w:line="270" w:lineRule="atLeast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8175C4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Activities during previous 12 months </w:t>
            </w:r>
          </w:p>
          <w:p w14:paraId="204642DE" w14:textId="77777777" w:rsidR="00241B17" w:rsidRPr="008175C4" w:rsidRDefault="00EF6FBA" w:rsidP="00241B17">
            <w:pPr>
              <w:spacing w:after="135" w:line="270" w:lineRule="atLeast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8175C4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 </w:t>
            </w:r>
          </w:p>
          <w:p w14:paraId="51AE3588" w14:textId="64DA283B" w:rsidR="00EF6FBA" w:rsidRPr="008175C4" w:rsidRDefault="00EF6FBA" w:rsidP="00241B17">
            <w:pPr>
              <w:spacing w:after="135" w:line="270" w:lineRule="atLeast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8175C4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AE7BB8" w14:textId="0756CDC6" w:rsidR="008175C4" w:rsidRPr="008175C4" w:rsidRDefault="008175C4" w:rsidP="008175C4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75C4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 xml:space="preserve">Presentation at the 1er </w:t>
            </w:r>
            <w:proofErr w:type="spellStart"/>
            <w:r w:rsidRPr="008175C4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>Simposio</w:t>
            </w:r>
            <w:proofErr w:type="spellEnd"/>
            <w:r w:rsidRPr="008175C4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175C4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>Latinoamericano</w:t>
            </w:r>
            <w:proofErr w:type="spellEnd"/>
            <w:r w:rsidRPr="008175C4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8175C4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>Toxina</w:t>
            </w:r>
            <w:proofErr w:type="spellEnd"/>
            <w:r w:rsidRPr="008175C4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Pr="008175C4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>Botulinica</w:t>
            </w:r>
            <w:proofErr w:type="spellEnd"/>
            <w:r w:rsidRPr="008175C4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 xml:space="preserve">  -</w:t>
            </w:r>
            <w:proofErr w:type="gramEnd"/>
            <w:r w:rsidRPr="008175C4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  <w:t xml:space="preserve"> November 27, 2019</w:t>
            </w:r>
          </w:p>
          <w:p w14:paraId="7AB4BF85" w14:textId="4F2E7A06" w:rsidR="008175C4" w:rsidRDefault="008175C4" w:rsidP="00D37437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75C4">
              <w:rPr>
                <w:rFonts w:asciiTheme="minorHAnsi" w:hAnsiTheme="minorHAnsi" w:cstheme="minorHAnsi"/>
                <w:sz w:val="20"/>
                <w:szCs w:val="20"/>
              </w:rPr>
              <w:t>Chapter contribution</w:t>
            </w:r>
            <w:r w:rsidR="00D37437">
              <w:rPr>
                <w:rFonts w:asciiTheme="minorHAnsi" w:hAnsiTheme="minorHAnsi" w:cstheme="minorHAnsi"/>
                <w:sz w:val="20"/>
                <w:szCs w:val="20"/>
              </w:rPr>
              <w:t xml:space="preserve">: Francisco GE, Wissel J, Platz T, Li S. </w:t>
            </w:r>
            <w:r w:rsidR="00D37437" w:rsidRPr="008175C4">
              <w:rPr>
                <w:rFonts w:asciiTheme="minorHAnsi" w:hAnsiTheme="minorHAnsi" w:cstheme="minorHAnsi"/>
                <w:sz w:val="20"/>
                <w:szCs w:val="20"/>
              </w:rPr>
              <w:t xml:space="preserve">Post-stroke spasticity </w:t>
            </w:r>
            <w:r w:rsidR="00D37437" w:rsidRPr="00D37437">
              <w:rPr>
                <w:rFonts w:asciiTheme="minorHAnsi" w:hAnsiTheme="minorHAnsi" w:cstheme="minorHAnsi"/>
                <w:i/>
                <w:sz w:val="20"/>
                <w:szCs w:val="20"/>
              </w:rPr>
              <w:t>in</w:t>
            </w:r>
            <w:r w:rsidRPr="00D37437">
              <w:rPr>
                <w:rFonts w:asciiTheme="minorHAnsi" w:hAnsiTheme="minorHAnsi" w:cstheme="minorHAnsi"/>
                <w:sz w:val="20"/>
                <w:szCs w:val="20"/>
              </w:rPr>
              <w:t xml:space="preserve"> Clinical Pathways in Stroke Rehabilitation: Evidence-based Clinical Practice Recommendations 1st ed. 2021 Edition. Platz, T (ed)</w:t>
            </w:r>
          </w:p>
          <w:p w14:paraId="5832E2AC" w14:textId="4B9D2620" w:rsidR="00D37437" w:rsidRPr="00D37437" w:rsidRDefault="00D37437" w:rsidP="00F15CD0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37437">
              <w:rPr>
                <w:rFonts w:asciiTheme="minorHAnsi" w:hAnsiTheme="minorHAnsi" w:cstheme="minorHAnsi"/>
                <w:sz w:val="20"/>
                <w:szCs w:val="20"/>
              </w:rPr>
              <w:t xml:space="preserve">Presentation at WCNR 2020: Pre-conference Teaching course on stroke rehabilitation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Spasticity Management</w:t>
            </w:r>
          </w:p>
          <w:p w14:paraId="23489187" w14:textId="107E1A2C" w:rsidR="00EF6FBA" w:rsidRPr="008175C4" w:rsidRDefault="00EF6FBA" w:rsidP="00D37437">
            <w:pPr>
              <w:pStyle w:val="Pa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EF6FBA" w:rsidRPr="008175C4" w14:paraId="4E9A8644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3EDA6B" w14:textId="41AF24D7" w:rsidR="00EF6FBA" w:rsidRPr="008175C4" w:rsidRDefault="00EF6FBA" w:rsidP="00EF6FBA">
            <w:pPr>
              <w:spacing w:after="135" w:line="270" w:lineRule="atLeast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8175C4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Proposed activities </w:t>
            </w:r>
          </w:p>
          <w:p w14:paraId="772523EB" w14:textId="77777777" w:rsidR="00241B17" w:rsidRPr="008175C4" w:rsidRDefault="00241B17" w:rsidP="00EF6FBA">
            <w:pPr>
              <w:spacing w:after="135" w:line="270" w:lineRule="atLeast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  <w:p w14:paraId="024E03EE" w14:textId="77777777" w:rsidR="00EF6FBA" w:rsidRPr="008175C4" w:rsidRDefault="00EF6FBA" w:rsidP="00EF6FBA">
            <w:pPr>
              <w:spacing w:after="135" w:line="270" w:lineRule="atLeast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8175C4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77F03F" w14:textId="6F25BD3F" w:rsidR="00EF6FBA" w:rsidRDefault="00D37437" w:rsidP="00D37437">
            <w:pPr>
              <w:pStyle w:val="ListParagraph"/>
              <w:numPr>
                <w:ilvl w:val="0"/>
                <w:numId w:val="2"/>
              </w:numPr>
              <w:spacing w:after="135" w:line="270" w:lineRule="atLeast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Re-naming and expanding SIG to </w:t>
            </w:r>
            <w:r w:rsidRPr="00D37437">
              <w:rPr>
                <w:rFonts w:eastAsia="Times New Roman" w:cstheme="minorHAnsi"/>
                <w:i/>
                <w:color w:val="333333"/>
                <w:sz w:val="20"/>
                <w:szCs w:val="20"/>
                <w:lang w:eastAsia="en-GB"/>
              </w:rPr>
              <w:t>Botulinum Toxins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 SIG</w:t>
            </w:r>
            <w:r w:rsidR="001F0A36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, to be co-chaired with Prof. Jorge Hernandez-Franco</w:t>
            </w:r>
          </w:p>
          <w:p w14:paraId="0F9A00CA" w14:textId="173DB966" w:rsidR="00C8753A" w:rsidRDefault="00C8753A" w:rsidP="00D37437">
            <w:pPr>
              <w:pStyle w:val="ListParagraph"/>
              <w:numPr>
                <w:ilvl w:val="0"/>
                <w:numId w:val="2"/>
              </w:numPr>
              <w:spacing w:after="135" w:line="270" w:lineRule="atLeast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Re-organize the SIG, first by increasing membership</w:t>
            </w:r>
            <w:r w:rsidR="001F0A36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. Re-establish new goals and key action plans.</w:t>
            </w:r>
          </w:p>
          <w:p w14:paraId="05F978C3" w14:textId="3DBCE62B" w:rsidR="00D37437" w:rsidRPr="00D37437" w:rsidRDefault="00D37437" w:rsidP="00D37437">
            <w:pPr>
              <w:pStyle w:val="ListParagraph"/>
              <w:numPr>
                <w:ilvl w:val="0"/>
                <w:numId w:val="2"/>
              </w:numPr>
              <w:spacing w:after="135" w:line="270" w:lineRule="atLeast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Co-organize the </w:t>
            </w:r>
            <w:r>
              <w:rPr>
                <w:rFonts w:eastAsia="Times New Roman" w:cstheme="minorHAnsi"/>
                <w:i/>
                <w:color w:val="333333"/>
                <w:sz w:val="20"/>
                <w:szCs w:val="20"/>
                <w:lang w:eastAsia="en-GB"/>
              </w:rPr>
              <w:t>Global Spasticity Summit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. This international summit was being planned when the COVID pandemic set in. Plan is to re</w:t>
            </w:r>
            <w:r w:rsidR="001F0A36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sume pre-organization work, including determination </w:t>
            </w:r>
            <w:proofErr w:type="gramStart"/>
            <w:r w:rsidR="001F0A36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of 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 feasibility</w:t>
            </w:r>
            <w:proofErr w:type="gramEnd"/>
            <w: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 of organizing the summit in 2021 </w:t>
            </w:r>
            <w:r w:rsidR="001F0A36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(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for implementation in 2022</w:t>
            </w:r>
            <w:r w:rsidR="001F0A36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)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. The go</w:t>
            </w:r>
            <w:r w:rsidR="00C8753A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a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l of the summit</w:t>
            </w:r>
            <w:r w:rsidR="00C8753A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 is to bring together leading experts around the globe to discuss the current state of spasticity assessment and management, and provide a compass for its future direction.</w:t>
            </w:r>
          </w:p>
        </w:tc>
      </w:tr>
      <w:tr w:rsidR="00EF6FBA" w:rsidRPr="008175C4" w14:paraId="0A2E25C5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A4B50AC" w14:textId="77777777" w:rsidR="00EF6FBA" w:rsidRPr="008175C4" w:rsidRDefault="00241B17" w:rsidP="00EF6FBA">
            <w:pPr>
              <w:spacing w:after="135" w:line="270" w:lineRule="atLeast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8175C4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lastRenderedPageBreak/>
              <w:t>Publications</w:t>
            </w:r>
          </w:p>
          <w:p w14:paraId="76494CD6" w14:textId="77777777" w:rsidR="00241B17" w:rsidRPr="008175C4" w:rsidRDefault="00241B17" w:rsidP="00EF6FBA">
            <w:pPr>
              <w:spacing w:after="135" w:line="270" w:lineRule="atLeast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  <w:p w14:paraId="78C7B2CD" w14:textId="6662C5C0" w:rsidR="00241B17" w:rsidRPr="008175C4" w:rsidRDefault="00241B17" w:rsidP="00EF6FBA">
            <w:pPr>
              <w:spacing w:after="135" w:line="270" w:lineRule="atLeast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90AAC93" w14:textId="77777777" w:rsidR="00EF6FBA" w:rsidRDefault="00D37437" w:rsidP="00EF6FBA">
            <w:pPr>
              <w:spacing w:after="135" w:line="27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Francisco GE, Wissel J, Platz T, Li S. </w:t>
            </w:r>
            <w:r w:rsidRPr="008175C4">
              <w:rPr>
                <w:rFonts w:cstheme="minorHAnsi"/>
                <w:sz w:val="20"/>
                <w:szCs w:val="20"/>
              </w:rPr>
              <w:t xml:space="preserve">Post-stroke spasticity </w:t>
            </w:r>
            <w:r w:rsidRPr="00D37437">
              <w:rPr>
                <w:rFonts w:cstheme="minorHAnsi"/>
                <w:i/>
                <w:sz w:val="20"/>
                <w:szCs w:val="20"/>
              </w:rPr>
              <w:t>in</w:t>
            </w:r>
            <w:r w:rsidRPr="00D37437">
              <w:rPr>
                <w:rFonts w:cstheme="minorHAnsi"/>
                <w:sz w:val="20"/>
                <w:szCs w:val="20"/>
              </w:rPr>
              <w:t xml:space="preserve"> Clinical Pathways in Stroke Rehabilitation: Evidence-based Clinical Practice Recommendations 1st ed. 2021 Edition. Platz, T (ed)</w:t>
            </w:r>
          </w:p>
          <w:p w14:paraId="20236D8B" w14:textId="19FA39E5" w:rsidR="00C8753A" w:rsidRPr="008175C4" w:rsidRDefault="00C8753A" w:rsidP="00EF6FBA">
            <w:pPr>
              <w:spacing w:after="135" w:line="270" w:lineRule="atLeast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Li S, Francisco GE, Rymer Z. </w:t>
            </w:r>
            <w:r w:rsidRPr="00C8753A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Does spasticity interfere with motor recovery after </w:t>
            </w:r>
            <w:proofErr w:type="gramStart"/>
            <w:r w:rsidRPr="00C8753A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stroke?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:</w:t>
            </w:r>
            <w:proofErr w:type="gramEnd"/>
            <w: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 </w:t>
            </w:r>
            <w:r w:rsidRPr="00C8753A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Neuromuscular impairments and rehabilitation approaches after stroke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.</w:t>
            </w:r>
            <w:r w:rsidRPr="00C8753A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 Neurorehabilitation and Neural Repair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 (manuscript reviewed and under revision)</w:t>
            </w:r>
          </w:p>
        </w:tc>
      </w:tr>
    </w:tbl>
    <w:p w14:paraId="191DBCBB" w14:textId="77777777" w:rsidR="00EF6FBA" w:rsidRPr="008175C4" w:rsidRDefault="00EF6FBA" w:rsidP="00EF6FBA">
      <w:pPr>
        <w:shd w:val="clear" w:color="auto" w:fill="FFFFFF"/>
        <w:spacing w:after="135" w:line="270" w:lineRule="atLeast"/>
        <w:rPr>
          <w:rFonts w:eastAsia="Times New Roman" w:cstheme="minorHAnsi"/>
          <w:color w:val="333333"/>
          <w:sz w:val="20"/>
          <w:szCs w:val="20"/>
          <w:lang w:eastAsia="en-GB"/>
        </w:rPr>
      </w:pPr>
      <w:r w:rsidRPr="008175C4">
        <w:rPr>
          <w:rFonts w:eastAsia="Times New Roman" w:cstheme="minorHAnsi"/>
          <w:color w:val="333333"/>
          <w:sz w:val="20"/>
          <w:szCs w:val="20"/>
          <w:lang w:eastAsia="en-GB"/>
        </w:rPr>
        <w:t> </w:t>
      </w:r>
    </w:p>
    <w:p w14:paraId="77BB59B2" w14:textId="66DFEA13" w:rsidR="00C161DF" w:rsidRPr="008175C4" w:rsidRDefault="00EF6FBA" w:rsidP="00241B17">
      <w:pPr>
        <w:shd w:val="clear" w:color="auto" w:fill="FFFFFF"/>
        <w:spacing w:after="135" w:line="270" w:lineRule="atLeast"/>
        <w:rPr>
          <w:rFonts w:cstheme="minorHAnsi"/>
          <w:sz w:val="20"/>
          <w:szCs w:val="20"/>
        </w:rPr>
      </w:pPr>
      <w:r w:rsidRPr="008175C4">
        <w:rPr>
          <w:rFonts w:eastAsia="Times New Roman" w:cstheme="minorHAnsi"/>
          <w:color w:val="333333"/>
          <w:sz w:val="20"/>
          <w:szCs w:val="20"/>
          <w:lang w:eastAsia="en-GB"/>
        </w:rPr>
        <w:t>Please send to Tracey Mole, WFNR Executive Director, </w:t>
      </w:r>
      <w:hyperlink r:id="rId6" w:history="1">
        <w:r w:rsidRPr="008175C4">
          <w:rPr>
            <w:rFonts w:eastAsia="Times New Roman" w:cstheme="minorHAnsi"/>
            <w:color w:val="007D65"/>
            <w:sz w:val="20"/>
            <w:szCs w:val="20"/>
            <w:u w:val="single"/>
            <w:lang w:eastAsia="en-GB"/>
          </w:rPr>
          <w:t>traceymole@wfnr.co.uk</w:t>
        </w:r>
      </w:hyperlink>
    </w:p>
    <w:sectPr w:rsidR="00C161DF" w:rsidRPr="008175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44FB3"/>
    <w:multiLevelType w:val="hybridMultilevel"/>
    <w:tmpl w:val="8330565C"/>
    <w:lvl w:ilvl="0" w:tplc="2F1A6D8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1E214B8"/>
    <w:multiLevelType w:val="hybridMultilevel"/>
    <w:tmpl w:val="3E44390E"/>
    <w:lvl w:ilvl="0" w:tplc="A1189456">
      <w:start w:val="1"/>
      <w:numFmt w:val="decimal"/>
      <w:lvlText w:val="%1)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BA"/>
    <w:rsid w:val="001F0A36"/>
    <w:rsid w:val="00241B17"/>
    <w:rsid w:val="004D6DC1"/>
    <w:rsid w:val="008175C4"/>
    <w:rsid w:val="00C161DF"/>
    <w:rsid w:val="00C8753A"/>
    <w:rsid w:val="00CC4378"/>
    <w:rsid w:val="00D37437"/>
    <w:rsid w:val="00E15EC6"/>
    <w:rsid w:val="00E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DB2A2"/>
  <w15:chartTrackingRefBased/>
  <w15:docId w15:val="{57FE6AC9-0F21-4FFB-875D-4923EEF0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75C4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uiPriority w:val="99"/>
    <w:rsid w:val="008175C4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8175C4"/>
    <w:rPr>
      <w:rFonts w:cs="Open Sans"/>
      <w:b/>
      <w:bCs/>
      <w:color w:val="000000"/>
      <w:sz w:val="120"/>
      <w:szCs w:val="120"/>
    </w:rPr>
  </w:style>
  <w:style w:type="paragraph" w:styleId="ListParagraph">
    <w:name w:val="List Paragraph"/>
    <w:basedOn w:val="Normal"/>
    <w:uiPriority w:val="34"/>
    <w:qFormat/>
    <w:rsid w:val="00D37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1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aceymole@wfnr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E3648-2B47-43E8-BB72-AFBE8A41B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Mole</dc:creator>
  <cp:keywords/>
  <dc:description/>
  <cp:lastModifiedBy>Tracey Mole</cp:lastModifiedBy>
  <cp:revision>2</cp:revision>
  <dcterms:created xsi:type="dcterms:W3CDTF">2021-01-08T17:51:00Z</dcterms:created>
  <dcterms:modified xsi:type="dcterms:W3CDTF">2021-01-08T17:51:00Z</dcterms:modified>
</cp:coreProperties>
</file>